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  <w:r w:rsidR="00774C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 учет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 w:rsidR="00774C9C">
        <w:rPr>
          <w:rFonts w:ascii="Times New Roman" w:eastAsia="Times New Roman" w:hAnsi="Times New Roman" w:cs="Times New Roman"/>
          <w:b/>
          <w:sz w:val="28"/>
          <w:szCs w:val="28"/>
        </w:rPr>
        <w:t>ОФИ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специальности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</w:t>
      </w:r>
      <w:r w:rsidR="00774C9C">
        <w:rPr>
          <w:rFonts w:ascii="Times New Roman" w:hAnsi="Times New Roman" w:cs="Times New Roman"/>
          <w:sz w:val="24"/>
          <w:szCs w:val="24"/>
        </w:rPr>
        <w:t>20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764A35" w:rsidRPr="000F6920" w:rsidRDefault="00764A35" w:rsidP="00764A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по выполнению семинарских занятий по дисциплине «</w:t>
      </w:r>
      <w:r w:rsidR="00774C9C">
        <w:rPr>
          <w:rFonts w:ascii="Times New Roman" w:eastAsia="Times New Roman" w:hAnsi="Times New Roman" w:cs="Times New Roman"/>
          <w:b/>
          <w:sz w:val="28"/>
          <w:szCs w:val="28"/>
        </w:rPr>
        <w:t>ОФИ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ПЛАН ПРАКТИЧЕСКИХ ЗАНЯТИЙ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Содержание, классификация и основы инвестиционного процесса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инвестиции. Объекты и субъекты инвестиции, формы и виды инвестиций. Мнение студентов об инвестиционной деятельности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Понятие, виды инвестиций. Классификация инвестиций.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Прямые иностранные инвестиции, их роль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цель привлечения.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Преимущества и недостатк</w:t>
      </w:r>
      <w:bookmarkStart w:id="0" w:name="_GoBack"/>
      <w:bookmarkEnd w:id="0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прямых инвестиций. Портфельные инвестиции.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Инвестиционная деятельность в РК. Иностранные и отечественные инвесторы.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 и субъекты инвестиционной деятельности.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2. Роль инвестиций в экономике Казахстана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инвестиционного климата. Инвестиционная деятельность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Законодательное обеспечение инвестиционной деятельности Казахстана. Закон РК «Об инвестициях». «Стратегия индустриально-инновационного развития Казахстана до 2015 года». 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инвестиционного климата.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Факторы, обеспечивающие привлекательность Казахстану.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сдерживающие инвестиционный процесс.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5.  Преимущества прямых иностранных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3. Структурно-инвестиционная политика государства в условиях перехода к рыночной экономике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собенность и характер инвестиционной политики  РК.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Понятии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инвестиционной политики, цели и задачи инвестиционной политики.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 характер инвестиционной политики РК. Принципы инвестиционной политики Республики.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Региональная ИП, отраслевая ИП.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 хозяйствующих субъектов. 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4. Источники финансирования и кредитования инвестиционной деятельности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 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Общая характеристика  источников финансирования. Состав и структура  источников финансирования.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характеристика источников финансирования и  кредитования инвестиций. Состав и структура источников 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Собственные ресурсы. Коэффициент самофинансирования.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Заемные и привлеченные бюджетные и внебюджетные источники.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Сбережения населения как самый дешевый и неиссякаемый источник финансирования. Сбережения, накопления и инвестиции в системе национальных счетов.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финансирования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Деятельность инвестиционных институтов, их организация и механизм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Участники инвестиционного рынка. Роль инвестиционных фондов и инвестиционных банков.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Кредитование БВУ инвестиционных проектов, хозяйствующих субъектов и населения.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долгосрочного кредитования. Основные виды кредитов.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операции банков с ценными бумагами.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Оптимизация инвестиционной деятельности коммерческого банка.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Инвестиционный проект и стадии его реализации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проекта,  основные стадии  инвестиционного проекта. Классификация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Сущность  и виды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инвестиционного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Жизненный цикл инвестиционных проектов, организация и управление инвестиционными проектами.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Классификация инвестиционных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Технико-экономическое обоснование инвестиционного проекта, его содержание, требования для его подготовки.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7. Основы проектного анализа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Принципы проектного анализа. Основные  методы предоставления кредита и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получения кредита.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Определить финансовое положение заемщика.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Роль и значение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Виды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Основные принципы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Рассмотрение инвестиционного проекта на протяжении всего жизненного цикла.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Бизнес-планирование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технико-экономического обоснования. Бизнес-план инвестиционного проекта. Виды анализа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Составление технико-экономического обоснования.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Разработка, порядок составления бизнес- 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Реализация бизнес-плана.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проектами.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9. Финансовый анализ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семинарского занятия</w:t>
      </w: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5547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554712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ундаментальный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анализа  инвестиций. Методы  финансово-экономического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и цели финансового анализа.  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Методы финансового анализа.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Финансовая оценка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10. Оценка денежных потоков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 Сущность  и цели финансового анализа.  Методы  финансового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Классификация релевантных денежных потоков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lastRenderedPageBreak/>
        <w:t>2. Инвестиционные проекты с постоянным доходом.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Инвестиционные проекты с постоянно возрастающими доходами.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Инвестиционные проекты спекулятивного типа.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11. Оценка экономической эффективности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С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ущность и необходимость инвестиций. Раскрыть основные критерии эффективности.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Порядок  экспертизы и методы оценки эффективности инвестиционных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Определение коэффициента дисконтирования.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Сроки окупаемости инвестиций.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Коэффициент эффективности инвестиций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12. Оценка риска инвестиционного проекта и методы управления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пределение инвестиционного риска. Методы  управления инвестиционными рисками.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неопределенности, риска. Виды инвестиционного риска.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Методы оценки риска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3.  Методы учета риска. Определение размера риска.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4712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554712">
        <w:rPr>
          <w:rFonts w:ascii="Times New Roman" w:eastAsia="Times New Roman" w:hAnsi="Times New Roman" w:cs="Times New Roman"/>
          <w:sz w:val="24"/>
          <w:szCs w:val="24"/>
        </w:rPr>
        <w:t>. Хеджирование. Страхование.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Методы оценки рисков с учетом распределений вероятностей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Финансовые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инвестиции.  Ценные бумаги и их  классификация.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Измерения доходности краткосрочных финансовых инструментов.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Доходность инвестиций на рынке акций.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Анализ доходности облигаций.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Внутренняя стоимость опциона.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Использование фьючерсных контрактов при инвестициях.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Международные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еждународные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инвестиций.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Формирование и выбор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Активный и пассивный подходы к формированию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Оценка риска  портфеля международных инвестиций.</w:t>
      </w: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E900E4" w:rsidRDefault="00554712" w:rsidP="0055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FD" w:rsidRDefault="00BC38FD" w:rsidP="00B625EC">
      <w:pPr>
        <w:spacing w:after="0" w:line="240" w:lineRule="auto"/>
      </w:pPr>
      <w:r>
        <w:separator/>
      </w:r>
    </w:p>
  </w:endnote>
  <w:endnote w:type="continuationSeparator" w:id="0">
    <w:p w:rsidR="00BC38FD" w:rsidRDefault="00BC38FD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FD" w:rsidRDefault="00BC38FD" w:rsidP="00B625EC">
      <w:pPr>
        <w:spacing w:after="0" w:line="240" w:lineRule="auto"/>
      </w:pPr>
      <w:r>
        <w:separator/>
      </w:r>
    </w:p>
  </w:footnote>
  <w:footnote w:type="continuationSeparator" w:id="0">
    <w:p w:rsidR="00BC38FD" w:rsidRDefault="00BC38FD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140"/>
    <w:multiLevelType w:val="hybridMultilevel"/>
    <w:tmpl w:val="D6680ED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15F8"/>
    <w:multiLevelType w:val="hybridMultilevel"/>
    <w:tmpl w:val="E5442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4359"/>
    <w:multiLevelType w:val="hybridMultilevel"/>
    <w:tmpl w:val="58A4ED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3088"/>
    <w:multiLevelType w:val="hybridMultilevel"/>
    <w:tmpl w:val="147AF5C2"/>
    <w:lvl w:ilvl="0" w:tplc="5A60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85E"/>
    <w:multiLevelType w:val="hybridMultilevel"/>
    <w:tmpl w:val="A9D27C3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F7DFE"/>
    <w:multiLevelType w:val="hybridMultilevel"/>
    <w:tmpl w:val="B4546A36"/>
    <w:lvl w:ilvl="0" w:tplc="FFFFFFF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14EE"/>
    <w:multiLevelType w:val="hybridMultilevel"/>
    <w:tmpl w:val="88EA0EF2"/>
    <w:lvl w:ilvl="0" w:tplc="049AF0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B63C9"/>
    <w:multiLevelType w:val="hybridMultilevel"/>
    <w:tmpl w:val="64D4B8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85B12"/>
    <w:multiLevelType w:val="hybridMultilevel"/>
    <w:tmpl w:val="7268882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8462B"/>
    <w:rsid w:val="001931EC"/>
    <w:rsid w:val="001B4679"/>
    <w:rsid w:val="0026243E"/>
    <w:rsid w:val="002B5A58"/>
    <w:rsid w:val="002F4B32"/>
    <w:rsid w:val="00360197"/>
    <w:rsid w:val="003806D9"/>
    <w:rsid w:val="003A3D02"/>
    <w:rsid w:val="003F196D"/>
    <w:rsid w:val="004268D6"/>
    <w:rsid w:val="0042794D"/>
    <w:rsid w:val="00492D86"/>
    <w:rsid w:val="004B3FB6"/>
    <w:rsid w:val="004D56B3"/>
    <w:rsid w:val="004F7F3A"/>
    <w:rsid w:val="00536744"/>
    <w:rsid w:val="00554712"/>
    <w:rsid w:val="00565278"/>
    <w:rsid w:val="00580E5D"/>
    <w:rsid w:val="00587303"/>
    <w:rsid w:val="00593392"/>
    <w:rsid w:val="00646D88"/>
    <w:rsid w:val="0065021D"/>
    <w:rsid w:val="00666C31"/>
    <w:rsid w:val="006B5FD2"/>
    <w:rsid w:val="00764A35"/>
    <w:rsid w:val="00774C9C"/>
    <w:rsid w:val="0079320E"/>
    <w:rsid w:val="00835A83"/>
    <w:rsid w:val="0089626E"/>
    <w:rsid w:val="008A7153"/>
    <w:rsid w:val="008B075C"/>
    <w:rsid w:val="00960C1D"/>
    <w:rsid w:val="009A53A3"/>
    <w:rsid w:val="009C031F"/>
    <w:rsid w:val="00A53680"/>
    <w:rsid w:val="00B625EC"/>
    <w:rsid w:val="00B732EC"/>
    <w:rsid w:val="00BA3D41"/>
    <w:rsid w:val="00BC38FD"/>
    <w:rsid w:val="00CC3CAF"/>
    <w:rsid w:val="00CD2A1F"/>
    <w:rsid w:val="00CF4C60"/>
    <w:rsid w:val="00CF5E47"/>
    <w:rsid w:val="00D1507A"/>
    <w:rsid w:val="00D21C1A"/>
    <w:rsid w:val="00D4147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6C69-FE20-4461-9639-CAD1B31B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2013-02-10T10:53:00Z</cp:lastPrinted>
  <dcterms:created xsi:type="dcterms:W3CDTF">2008-10-26T06:31:00Z</dcterms:created>
  <dcterms:modified xsi:type="dcterms:W3CDTF">2020-02-10T02:21:00Z</dcterms:modified>
</cp:coreProperties>
</file>